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before="0" w:after="0" w:line="580" w:lineRule="atLeast"/>
        <w:ind w:right="0"/>
        <w:jc w:val="center"/>
        <w:textAlignment w:val="baseline"/>
        <w:rPr>
          <w:rFonts w:hint="eastAsia" w:ascii="仿宋_GB2312" w:hAnsi="仿宋_GB2312" w:eastAsia="仿宋_GB2312" w:cs="仿宋_GB2312"/>
          <w:sz w:val="28"/>
          <w:szCs w:val="28"/>
        </w:rPr>
      </w:pPr>
      <w:r>
        <w:rPr>
          <w:rFonts w:hint="eastAsia" w:ascii="黑体" w:hAnsi="黑体" w:eastAsia="黑体" w:cs="黑体"/>
          <w:b/>
          <w:i w:val="0"/>
          <w:strike w:val="0"/>
          <w:color w:val="000000"/>
          <w:sz w:val="44"/>
          <w:szCs w:val="44"/>
        </w:rPr>
        <w:t>西安科技大学高新学院银龄教师招聘公告</w:t>
      </w:r>
    </w:p>
    <w:p>
      <w:pPr>
        <w:wordWrap w:val="0"/>
        <w:spacing w:before="0" w:after="0" w:line="460" w:lineRule="exact"/>
        <w:ind w:left="0" w:right="0"/>
        <w:jc w:val="both"/>
        <w:textAlignment w:val="baseline"/>
        <w:rPr>
          <w:rFonts w:hint="eastAsia" w:ascii="仿宋_GB2312" w:hAnsi="仿宋_GB2312" w:eastAsia="仿宋_GB2312" w:cs="仿宋_GB2312"/>
          <w:sz w:val="28"/>
          <w:szCs w:val="28"/>
        </w:rPr>
      </w:pPr>
    </w:p>
    <w:p>
      <w:pPr>
        <w:wordWrap w:val="0"/>
        <w:spacing w:before="0" w:after="0" w:line="560" w:lineRule="atLeast"/>
        <w:ind w:right="60" w:firstLine="560" w:firstLineChars="20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为深入贯彻落实习近平新时代中国特色社会主义思想和党的二十大精神。根据中共中央、国务院关于全面深化新时代教师队伍建设改革有关精神和《国家银龄教师行动计划</w:t>
      </w:r>
      <w:r>
        <w:rPr>
          <w:rFonts w:hint="eastAsia" w:ascii="仿宋_GB2312" w:hAnsi="仿宋_GB2312" w:eastAsia="仿宋_GB2312" w:cs="仿宋_GB2312"/>
          <w:b w:val="0"/>
          <w:i w:val="0"/>
          <w:strike w:val="0"/>
          <w:color w:val="000000"/>
          <w:sz w:val="28"/>
          <w:szCs w:val="28"/>
          <w:lang w:eastAsia="zh-CN"/>
        </w:rPr>
        <w:t>》</w:t>
      </w:r>
      <w:r>
        <w:rPr>
          <w:rFonts w:hint="eastAsia" w:ascii="仿宋_GB2312" w:hAnsi="仿宋_GB2312" w:eastAsia="仿宋_GB2312" w:cs="仿宋_GB2312"/>
          <w:b w:val="0"/>
          <w:i w:val="0"/>
          <w:strike w:val="0"/>
          <w:color w:val="000000"/>
          <w:sz w:val="28"/>
          <w:szCs w:val="28"/>
        </w:rPr>
        <w:t>(教师〔2023〕)文件要求，西安科技大学高新学院积极推进银龄教师招聘引进工作，此次招聘意在遴选一批优秀退休教师投身学院师资队伍建设，充分发挥退休教师的资源优势、专业优势和经验优势，帮助学院补短板、强弱项、提质量。结合学院实际，现将“银龄教师”招聘有关事项公告如下：</w:t>
      </w:r>
    </w:p>
    <w:p>
      <w:pPr>
        <w:wordWrap w:val="0"/>
        <w:spacing w:before="0" w:after="0" w:line="560" w:lineRule="atLeast"/>
        <w:ind w:left="0" w:right="6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一、 学院简介</w:t>
      </w:r>
    </w:p>
    <w:p>
      <w:pPr>
        <w:wordWrap w:val="0"/>
        <w:spacing w:before="0" w:after="0" w:line="560" w:lineRule="atLeast"/>
        <w:ind w:right="60" w:firstLine="560" w:firstLineChars="20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西安科技大学高新学院位于古都西安，是经教育部批准，由西安科技大学与陕西西科美芯科技有限责任公司合作举办的全日制普通本科独立学院。学校的办学历史可追溯到2003年，原名为西安科技大学电子信息学院。经教育部批准，2006年西安科技大学高新学院正式成立。</w:t>
      </w:r>
    </w:p>
    <w:p>
      <w:pPr>
        <w:wordWrap w:val="0"/>
        <w:spacing w:before="0" w:after="0" w:line="560" w:lineRule="atLeast"/>
        <w:ind w:right="60" w:firstLine="560" w:firstLineChars="200"/>
        <w:jc w:val="both"/>
        <w:textAlignment w:val="baseline"/>
        <w:rPr>
          <w:rFonts w:hint="eastAsia" w:ascii="仿宋_GB2312" w:hAnsi="仿宋_GB2312" w:eastAsia="仿宋_GB2312" w:cs="仿宋_GB2312"/>
          <w:b w:val="0"/>
          <w:i w:val="0"/>
          <w:strike w:val="0"/>
          <w:color w:val="000000"/>
          <w:sz w:val="28"/>
          <w:szCs w:val="28"/>
          <w:lang w:eastAsia="zh-CN"/>
        </w:rPr>
      </w:pPr>
      <w:r>
        <w:rPr>
          <w:rFonts w:hint="eastAsia" w:ascii="仿宋_GB2312" w:hAnsi="仿宋_GB2312" w:eastAsia="仿宋_GB2312" w:cs="仿宋_GB2312"/>
          <w:b w:val="0"/>
          <w:i w:val="0"/>
          <w:strike w:val="0"/>
          <w:color w:val="000000"/>
          <w:sz w:val="28"/>
          <w:szCs w:val="28"/>
        </w:rPr>
        <w:t>学院依托西安科技大学六十多年深厚的历史文化积淀和优质教育教学资源、学科优势，秉持产教融合、创新发展的办学特色，通过校企合作、开设定制班、共建基地、实践教学，培养具有奋斗创新精神的高素质应用型人才，以建设特色鲜明、国际化、具有创新活力的高水平应用型大学为使命和愿景</w:t>
      </w:r>
      <w:r>
        <w:rPr>
          <w:rFonts w:hint="eastAsia" w:ascii="仿宋_GB2312" w:hAnsi="仿宋_GB2312" w:eastAsia="仿宋_GB2312" w:cs="仿宋_GB2312"/>
          <w:b w:val="0"/>
          <w:i w:val="0"/>
          <w:strike w:val="0"/>
          <w:color w:val="000000"/>
          <w:sz w:val="28"/>
          <w:szCs w:val="28"/>
          <w:lang w:eastAsia="zh-CN"/>
        </w:rPr>
        <w:t>。</w:t>
      </w:r>
    </w:p>
    <w:p>
      <w:pPr>
        <w:wordWrap w:val="0"/>
        <w:spacing w:before="0" w:after="0" w:line="560" w:lineRule="atLeast"/>
        <w:ind w:right="60"/>
        <w:jc w:val="both"/>
        <w:textAlignment w:val="baseline"/>
        <w:rPr>
          <w:rFonts w:hint="eastAsia" w:ascii="仿宋_GB2312" w:hAnsi="仿宋_GB2312" w:eastAsia="仿宋_GB2312" w:cs="仿宋_GB2312"/>
          <w:b w:val="0"/>
          <w:i w:val="0"/>
          <w:strike w:val="0"/>
          <w:color w:val="000000"/>
          <w:sz w:val="28"/>
          <w:szCs w:val="28"/>
          <w:lang w:eastAsia="zh-CN"/>
        </w:rPr>
        <w:sectPr>
          <w:pgSz w:w="11900" w:h="16820"/>
          <w:pgMar w:top="1420" w:right="1780" w:bottom="1420" w:left="1780" w:header="720" w:footer="720" w:gutter="0"/>
          <w:cols w:space="720" w:num="1"/>
        </w:sectPr>
      </w:pPr>
    </w:p>
    <w:p>
      <w:pPr>
        <w:wordWrap w:val="0"/>
        <w:spacing w:before="0" w:after="0" w:line="560" w:lineRule="atLeast"/>
        <w:ind w:right="60" w:firstLine="560" w:firstLineChars="20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学院设有信息与科技工程学院、城市建设学院、经济与管理学院、新传媒与艺术学院、国际教育与人文学院、马克思主义学院六个二级学院，开设本专科专业46个</w:t>
      </w:r>
      <w:r>
        <w:rPr>
          <w:rFonts w:hint="eastAsia" w:ascii="仿宋_GB2312" w:hAnsi="仿宋_GB2312" w:eastAsia="仿宋_GB2312" w:cs="仿宋_GB2312"/>
          <w:b w:val="0"/>
          <w:i w:val="0"/>
          <w:strike w:val="0"/>
          <w:color w:val="000000"/>
          <w:sz w:val="28"/>
          <w:szCs w:val="28"/>
          <w:lang w:eastAsia="zh-CN"/>
        </w:rPr>
        <w:t>（</w:t>
      </w:r>
      <w:r>
        <w:rPr>
          <w:rFonts w:hint="eastAsia" w:ascii="仿宋_GB2312" w:hAnsi="仿宋_GB2312" w:eastAsia="仿宋_GB2312" w:cs="仿宋_GB2312"/>
          <w:b w:val="0"/>
          <w:i w:val="0"/>
          <w:strike w:val="0"/>
          <w:color w:val="000000"/>
          <w:sz w:val="28"/>
          <w:szCs w:val="28"/>
          <w:lang w:val="en-US" w:eastAsia="zh-CN"/>
        </w:rPr>
        <w:t>本科30个、专科16个</w:t>
      </w:r>
      <w:r>
        <w:rPr>
          <w:rFonts w:hint="eastAsia" w:ascii="仿宋_GB2312" w:hAnsi="仿宋_GB2312" w:eastAsia="仿宋_GB2312" w:cs="仿宋_GB2312"/>
          <w:b w:val="0"/>
          <w:i w:val="0"/>
          <w:strike w:val="0"/>
          <w:color w:val="000000"/>
          <w:sz w:val="28"/>
          <w:szCs w:val="28"/>
          <w:lang w:eastAsia="zh-CN"/>
        </w:rPr>
        <w:t>）</w:t>
      </w:r>
      <w:r>
        <w:rPr>
          <w:rFonts w:hint="eastAsia" w:ascii="仿宋_GB2312" w:hAnsi="仿宋_GB2312" w:eastAsia="仿宋_GB2312" w:cs="仿宋_GB2312"/>
          <w:b w:val="0"/>
          <w:i w:val="0"/>
          <w:strike w:val="0"/>
          <w:color w:val="000000"/>
          <w:sz w:val="28"/>
          <w:szCs w:val="28"/>
        </w:rPr>
        <w:t>，涵盖工、管、经、文、艺、教育多个学科门类。学院占地近1000亩，总建筑面积约39万平方米，教学科研仪器设备总值</w:t>
      </w:r>
      <w:r>
        <w:rPr>
          <w:rFonts w:hint="eastAsia" w:ascii="仿宋_GB2312" w:hAnsi="仿宋_GB2312" w:eastAsia="仿宋_GB2312" w:cs="仿宋_GB2312"/>
          <w:b w:val="0"/>
          <w:i w:val="0"/>
          <w:strike w:val="0"/>
          <w:color w:val="000000"/>
          <w:sz w:val="28"/>
          <w:szCs w:val="28"/>
          <w:lang w:val="en-US" w:eastAsia="zh-CN"/>
        </w:rPr>
        <w:t>6800余万元，</w:t>
      </w:r>
      <w:r>
        <w:rPr>
          <w:rFonts w:hint="eastAsia" w:ascii="仿宋_GB2312" w:hAnsi="仿宋_GB2312" w:eastAsia="仿宋_GB2312" w:cs="仿宋_GB2312"/>
          <w:b w:val="0"/>
          <w:i w:val="0"/>
          <w:strike w:val="0"/>
          <w:color w:val="000000"/>
          <w:sz w:val="28"/>
          <w:szCs w:val="28"/>
        </w:rPr>
        <w:t>在校学生1.1万余人，校园环境清新幽美，教科研条件达到教育部规定。</w:t>
      </w:r>
    </w:p>
    <w:p>
      <w:pPr>
        <w:wordWrap w:val="0"/>
        <w:spacing w:before="0" w:after="0" w:line="560" w:lineRule="atLeast"/>
        <w:ind w:left="0" w:right="60" w:firstLine="560" w:firstLineChars="20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学院秉持“自强不息、 日新月异”的校训，通过与国外优质高校、国内多家行业领军企业深度合作，促进校企联合培养，形成本科、专科、国际教育三位一体，多层次、多元化、多渠道人才培养体系。97.33%的就业质量指数，使学院成为最具综合实力品牌的独立学院之一。学院具有先进的教学体系+完备的学科实验室+产教融合实践教学+前瞻性的创新实验班，培养行业急需的应用型专业人才。</w:t>
      </w:r>
    </w:p>
    <w:p>
      <w:pPr>
        <w:wordWrap w:val="0"/>
        <w:spacing w:before="0" w:after="0" w:line="560" w:lineRule="atLeast"/>
        <w:ind w:left="0" w:right="60" w:firstLine="560" w:firstLineChars="200"/>
        <w:jc w:val="both"/>
        <w:textAlignment w:val="baseline"/>
        <w:rPr>
          <w:rFonts w:hint="eastAsia" w:ascii="仿宋_GB2312" w:hAnsi="仿宋_GB2312" w:eastAsia="仿宋_GB2312" w:cs="仿宋_GB2312"/>
          <w:b w:val="0"/>
          <w:i w:val="0"/>
          <w:strike w:val="0"/>
          <w:color w:val="000000"/>
          <w:sz w:val="28"/>
          <w:szCs w:val="28"/>
        </w:rPr>
      </w:pPr>
    </w:p>
    <w:p>
      <w:pPr>
        <w:wordWrap w:val="0"/>
        <w:spacing w:before="0" w:after="0" w:line="560" w:lineRule="atLeast"/>
        <w:ind w:right="6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二、应聘条件</w:t>
      </w:r>
    </w:p>
    <w:p>
      <w:pPr>
        <w:wordWrap w:val="0"/>
        <w:spacing w:before="0" w:after="0" w:line="560" w:lineRule="atLeast"/>
        <w:ind w:left="0" w:right="6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1、政治可靠、热爱祖国、师德高尚、爱岗敬业； 热爱教育事业，身体健康、甘于奉献、不怕吃苦、作风扎实； 有较高的思想政治觉悟和良好的职业道德；</w:t>
      </w:r>
    </w:p>
    <w:p>
      <w:pPr>
        <w:wordWrap w:val="0"/>
        <w:spacing w:before="0" w:after="0" w:line="560" w:lineRule="atLeast"/>
        <w:ind w:left="0" w:right="2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2、具有扎实的专业理论知识和丰富的高等院校工作经历，具有高水平的教育教学能力及科研能力；</w:t>
      </w:r>
    </w:p>
    <w:p>
      <w:pPr>
        <w:wordWrap w:val="0"/>
        <w:spacing w:before="0" w:after="0" w:line="560" w:lineRule="atLeast"/>
        <w:ind w:left="0" w:right="0"/>
        <w:jc w:val="both"/>
        <w:textAlignment w:val="baseline"/>
        <w:rPr>
          <w:rFonts w:hint="eastAsia" w:ascii="仿宋_GB2312" w:hAnsi="仿宋_GB2312" w:eastAsia="仿宋_GB2312" w:cs="仿宋_GB2312"/>
          <w:sz w:val="28"/>
          <w:szCs w:val="28"/>
        </w:rPr>
        <w:sectPr>
          <w:pgSz w:w="11900" w:h="16820"/>
          <w:pgMar w:top="1417" w:right="1780" w:bottom="1417" w:left="1780" w:header="720" w:footer="720" w:gutter="0"/>
          <w:cols w:space="0" w:num="1"/>
          <w:rtlGutter w:val="0"/>
          <w:docGrid w:linePitch="0" w:charSpace="0"/>
        </w:sectPr>
      </w:pPr>
      <w:r>
        <w:rPr>
          <w:rFonts w:hint="eastAsia" w:ascii="仿宋_GB2312" w:hAnsi="仿宋_GB2312" w:eastAsia="仿宋_GB2312" w:cs="仿宋_GB2312"/>
          <w:b w:val="0"/>
          <w:i w:val="0"/>
          <w:strike w:val="0"/>
          <w:color w:val="000000"/>
          <w:sz w:val="28"/>
          <w:szCs w:val="28"/>
        </w:rPr>
        <w:t>3、具有良好的适应能力，理解并认同民办教育的教学理念，愿同学院同进步、共发展；</w:t>
      </w:r>
    </w:p>
    <w:p>
      <w:pPr>
        <w:wordWrap w:val="0"/>
        <w:spacing w:before="0" w:after="0" w:line="700" w:lineRule="atLeast"/>
        <w:ind w:left="80" w:right="32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4、硕士研究生及以上学历且具有副高级及以上职称，原则上年龄不超过不超过65岁，具有博士学位可以适当放宽年龄要求。</w:t>
      </w:r>
    </w:p>
    <w:p>
      <w:pPr>
        <w:wordWrap w:val="0"/>
        <w:spacing w:before="0" w:after="0" w:line="700" w:lineRule="atLeast"/>
        <w:ind w:left="80" w:right="320"/>
        <w:jc w:val="both"/>
        <w:textAlignment w:val="baseline"/>
        <w:rPr>
          <w:rFonts w:hint="eastAsia" w:ascii="仿宋_GB2312" w:hAnsi="仿宋_GB2312" w:eastAsia="仿宋_GB2312" w:cs="仿宋_GB2312"/>
          <w:b w:val="0"/>
          <w:i w:val="0"/>
          <w:strike w:val="0"/>
          <w:color w:val="000000"/>
          <w:sz w:val="28"/>
          <w:szCs w:val="28"/>
        </w:rPr>
      </w:pPr>
    </w:p>
    <w:p>
      <w:pPr>
        <w:wordWrap w:val="0"/>
        <w:spacing w:before="0" w:after="0" w:line="700" w:lineRule="atLeast"/>
        <w:ind w:left="8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三、应聘专业</w:t>
      </w:r>
    </w:p>
    <w:tbl>
      <w:tblPr>
        <w:tblStyle w:val="2"/>
        <w:tblpPr w:leftFromText="180" w:rightFromText="180" w:vertAnchor="text" w:horzAnchor="page" w:tblpX="2061" w:tblpY="611"/>
        <w:tblOverlap w:val="never"/>
        <w:tblW w:w="804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160"/>
        <w:gridCol w:w="1840"/>
        <w:gridCol w:w="504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20" w:hRule="atLeast"/>
        </w:trPr>
        <w:tc>
          <w:tcPr>
            <w:tcW w:w="116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人员类型</w:t>
            </w: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学科方向(专业)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480" w:hRule="atLeast"/>
        </w:trPr>
        <w:tc>
          <w:tcPr>
            <w:tcW w:w="1160" w:type="dxa"/>
            <w:vMerge w:val="restart"/>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1"/>
                <w:szCs w:val="21"/>
              </w:rPr>
              <w:t>银龄教师</w:t>
            </w: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城市建设学院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建筑学、土木工程、工程管理、工程造价、测绘工程、建设工程管理、工程造价、工程测量技术、建筑装饰工程技术等相关专业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020" w:hRule="atLeast"/>
        </w:trPr>
        <w:tc>
          <w:tcPr>
            <w:tcW w:w="1160" w:type="dxa"/>
            <w:vMerge w:val="continue"/>
          </w:tcPr>
          <w:p>
            <w:pPr>
              <w:rPr>
                <w:rFonts w:hint="eastAsia" w:ascii="仿宋_GB2312" w:hAnsi="仿宋_GB2312" w:eastAsia="仿宋_GB2312" w:cs="仿宋_GB2312"/>
                <w:sz w:val="28"/>
                <w:szCs w:val="28"/>
              </w:rPr>
            </w:pP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国际教育与人文学院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汉语国际教育、英语、商务英语、学前教育等相关专业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220" w:hRule="atLeast"/>
        </w:trPr>
        <w:tc>
          <w:tcPr>
            <w:tcW w:w="1160" w:type="dxa"/>
            <w:vMerge w:val="continue"/>
          </w:tcPr>
          <w:p>
            <w:pPr>
              <w:rPr>
                <w:rFonts w:hint="eastAsia" w:ascii="仿宋_GB2312" w:hAnsi="仿宋_GB2312" w:eastAsia="仿宋_GB2312" w:cs="仿宋_GB2312"/>
                <w:sz w:val="28"/>
                <w:szCs w:val="28"/>
              </w:rPr>
            </w:pP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新传媒与艺术学院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网络与新媒体、播音与主持艺术、数字媒体艺术、广播电视编导、视觉传达设计、环境设计、传播与策划、体育运营与管理等相关专业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520" w:hRule="atLeast"/>
        </w:trPr>
        <w:tc>
          <w:tcPr>
            <w:tcW w:w="1160" w:type="dxa"/>
            <w:vMerge w:val="continue"/>
          </w:tcPr>
          <w:p>
            <w:pPr>
              <w:rPr>
                <w:rFonts w:hint="eastAsia" w:ascii="仿宋_GB2312" w:hAnsi="仿宋_GB2312" w:eastAsia="仿宋_GB2312" w:cs="仿宋_GB2312"/>
                <w:sz w:val="28"/>
                <w:szCs w:val="28"/>
              </w:rPr>
            </w:pP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信息与科技工程学院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计算机科学与技术、物联网工程、自动化、电气工程及其自动化、软件工程； 车辆工程、机械设计制造及其自动化 安全工程、采矿工程、能源与动力工程、机电一体化技术、电气自动化技术、软件技术等相关专业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60" w:hRule="atLeast"/>
        </w:trPr>
        <w:tc>
          <w:tcPr>
            <w:tcW w:w="1160" w:type="dxa"/>
            <w:vMerge w:val="continue"/>
          </w:tcPr>
          <w:p>
            <w:pPr>
              <w:rPr>
                <w:rFonts w:hint="eastAsia" w:ascii="仿宋_GB2312" w:hAnsi="仿宋_GB2312" w:eastAsia="仿宋_GB2312" w:cs="仿宋_GB2312"/>
                <w:sz w:val="28"/>
                <w:szCs w:val="28"/>
              </w:rPr>
            </w:pPr>
          </w:p>
        </w:tc>
        <w:tc>
          <w:tcPr>
            <w:tcW w:w="1840" w:type="dxa"/>
            <w:vAlign w:val="center"/>
          </w:tcPr>
          <w:p>
            <w:pPr>
              <w:wordWrap w:val="0"/>
              <w:spacing w:before="0" w:after="0" w:line="320" w:lineRule="atLeast"/>
              <w:ind w:left="0" w:right="0"/>
              <w:jc w:val="center"/>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经济与管理学院</w:t>
            </w:r>
          </w:p>
        </w:tc>
        <w:tc>
          <w:tcPr>
            <w:tcW w:w="5042" w:type="dxa"/>
            <w:vAlign w:val="center"/>
          </w:tcPr>
          <w:p>
            <w:pPr>
              <w:wordWrap w:val="0"/>
              <w:spacing w:before="0" w:after="0" w:line="320" w:lineRule="atLeast"/>
              <w:ind w:left="0" w:right="0"/>
              <w:jc w:val="both"/>
              <w:textAlignment w:val="baseline"/>
              <w:rPr>
                <w:rFonts w:hint="eastAsia" w:ascii="仿宋_GB2312" w:hAnsi="仿宋_GB2312" w:eastAsia="仿宋_GB2312" w:cs="仿宋_GB2312"/>
                <w:sz w:val="21"/>
                <w:szCs w:val="21"/>
              </w:rPr>
            </w:pPr>
            <w:r>
              <w:rPr>
                <w:rFonts w:hint="eastAsia" w:ascii="仿宋_GB2312" w:hAnsi="仿宋_GB2312" w:eastAsia="仿宋_GB2312" w:cs="仿宋_GB2312"/>
                <w:b w:val="0"/>
                <w:i w:val="0"/>
                <w:strike w:val="0"/>
                <w:color w:val="000000"/>
                <w:sz w:val="21"/>
                <w:szCs w:val="21"/>
              </w:rPr>
              <w:t>财务管理、旅游管理、金融工程、电子商务、大数据管理与应用、会计、酒店管理、大数据技术与应用等相关专业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06" w:hRule="atLeast"/>
        </w:trPr>
        <w:tc>
          <w:tcPr>
            <w:tcW w:w="1160"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总计</w:t>
            </w:r>
          </w:p>
        </w:tc>
        <w:tc>
          <w:tcPr>
            <w:tcW w:w="6882" w:type="dxa"/>
            <w:gridSpan w:val="2"/>
            <w:vAlign w:val="center"/>
          </w:tcPr>
          <w:p>
            <w:pPr>
              <w:wordWrap w:val="0"/>
              <w:spacing w:before="0" w:after="0" w:line="320" w:lineRule="atLeast"/>
              <w:ind w:left="0" w:right="0"/>
              <w:jc w:val="center"/>
              <w:textAlignment w:val="baseline"/>
              <w:rPr>
                <w:rFonts w:hint="eastAsia" w:ascii="仿宋_GB2312" w:hAnsi="仿宋_GB2312" w:eastAsia="仿宋_GB2312" w:cs="仿宋_GB2312"/>
                <w:b w:val="0"/>
                <w:i w:val="0"/>
                <w:strike w:val="0"/>
                <w:color w:val="000000"/>
                <w:sz w:val="21"/>
                <w:szCs w:val="21"/>
                <w:lang w:val="en-US" w:eastAsia="zh-CN"/>
              </w:rPr>
            </w:pPr>
            <w:r>
              <w:rPr>
                <w:rFonts w:hint="eastAsia" w:ascii="仿宋_GB2312" w:hAnsi="仿宋_GB2312" w:eastAsia="仿宋_GB2312" w:cs="仿宋_GB2312"/>
                <w:b w:val="0"/>
                <w:i w:val="0"/>
                <w:strike w:val="0"/>
                <w:color w:val="000000"/>
                <w:sz w:val="21"/>
                <w:szCs w:val="21"/>
                <w:lang w:val="en-US" w:eastAsia="zh-CN"/>
              </w:rPr>
              <w:t>20人</w:t>
            </w:r>
          </w:p>
        </w:tc>
      </w:tr>
    </w:tbl>
    <w:p>
      <w:pPr>
        <w:wordWrap w:val="0"/>
        <w:spacing w:before="0" w:after="0" w:line="700" w:lineRule="exact"/>
        <w:ind w:left="0" w:right="0"/>
        <w:jc w:val="left"/>
        <w:textAlignment w:val="baseline"/>
        <w:rPr>
          <w:rFonts w:hint="eastAsia" w:ascii="仿宋_GB2312" w:hAnsi="仿宋_GB2312" w:eastAsia="仿宋_GB2312" w:cs="仿宋_GB2312"/>
          <w:sz w:val="28"/>
          <w:szCs w:val="28"/>
        </w:rPr>
      </w:pPr>
    </w:p>
    <w:p>
      <w:pPr>
        <w:wordWrap w:val="0"/>
        <w:spacing w:before="0" w:after="0" w:line="360" w:lineRule="auto"/>
        <w:ind w:left="8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四、薪酬待遇</w:t>
      </w:r>
    </w:p>
    <w:p>
      <w:pPr>
        <w:wordWrap w:val="0"/>
        <w:spacing w:after="0" w:line="360" w:lineRule="auto"/>
        <w:ind w:left="0" w:right="0" w:firstLine="560" w:firstLineChars="200"/>
        <w:jc w:val="both"/>
        <w:textAlignment w:val="baseline"/>
        <w:rPr>
          <w:rFonts w:hint="eastAsia" w:ascii="仿宋_GB2312" w:hAnsi="仿宋_GB2312" w:eastAsia="仿宋_GB2312" w:cs="仿宋_GB2312"/>
          <w:sz w:val="28"/>
          <w:szCs w:val="28"/>
          <w:lang w:val="en-US" w:eastAsia="zh-CN"/>
        </w:rPr>
        <w:sectPr>
          <w:pgSz w:w="11900" w:h="16820"/>
          <w:pgMar w:top="1380" w:right="1980" w:bottom="1380" w:left="1980" w:header="720" w:footer="720" w:gutter="0"/>
          <w:cols w:space="720" w:num="1"/>
        </w:sectPr>
      </w:pPr>
      <w:r>
        <w:rPr>
          <w:rFonts w:hint="eastAsia" w:ascii="仿宋_GB2312" w:hAnsi="仿宋_GB2312" w:eastAsia="仿宋_GB2312" w:cs="仿宋_GB2312"/>
          <w:b w:val="0"/>
          <w:i w:val="0"/>
          <w:strike w:val="0"/>
          <w:color w:val="000000"/>
          <w:sz w:val="28"/>
          <w:szCs w:val="28"/>
        </w:rPr>
        <w:t>学院针对符合学院招聘需求的银龄教师，待遇采取一人一岗，一事一议原</w:t>
      </w:r>
      <w:r>
        <w:rPr>
          <w:rFonts w:hint="eastAsia" w:ascii="仿宋_GB2312" w:hAnsi="仿宋_GB2312" w:eastAsia="仿宋_GB2312" w:cs="仿宋_GB2312"/>
          <w:b w:val="0"/>
          <w:i w:val="0"/>
          <w:strike w:val="0"/>
          <w:color w:val="000000"/>
          <w:sz w:val="28"/>
          <w:szCs w:val="28"/>
          <w:lang w:val="en-US" w:eastAsia="zh-CN"/>
        </w:rPr>
        <w:t>则。</w:t>
      </w:r>
    </w:p>
    <w:p>
      <w:pPr>
        <w:wordWrap w:val="0"/>
        <w:spacing w:after="0" w:line="24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lang w:val="en-US" w:eastAsia="zh-CN"/>
        </w:rPr>
        <w:t>五</w:t>
      </w:r>
      <w:r>
        <w:rPr>
          <w:rFonts w:hint="eastAsia" w:ascii="仿宋_GB2312" w:hAnsi="仿宋_GB2312" w:eastAsia="仿宋_GB2312" w:cs="仿宋_GB2312"/>
          <w:b w:val="0"/>
          <w:i w:val="0"/>
          <w:strike w:val="0"/>
          <w:color w:val="000000"/>
          <w:sz w:val="28"/>
          <w:szCs w:val="28"/>
        </w:rPr>
        <w:t>、应聘流程</w:t>
      </w:r>
    </w:p>
    <w:p>
      <w:pPr>
        <w:wordWrap w:val="0"/>
        <w:spacing w:before="200" w:after="0" w:line="540" w:lineRule="atLeast"/>
        <w:ind w:left="50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1、报名采用电子邮箱投递方式</w:t>
      </w:r>
    </w:p>
    <w:p>
      <w:pPr>
        <w:wordWrap w:val="0"/>
        <w:spacing w:before="0" w:after="0" w:line="540" w:lineRule="atLeast"/>
        <w:ind w:left="0" w:right="100" w:firstLine="50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应聘者可将个人简历以及学历、职称证明等材料发送至学院人事处电子邮箱 kdgxrsc2006@163.com,邮件标题请注明:应聘岗位+姓名+职称。报名时请注意，以收到学院电子邮箱自动回执为有效。个人简历应全面反映个人的学习经历和工作经历，以及取得的教学科研成果，力求准确、真实；</w:t>
      </w:r>
    </w:p>
    <w:p>
      <w:pPr>
        <w:wordWrap w:val="0"/>
        <w:spacing w:before="0" w:after="0" w:line="540" w:lineRule="atLeast"/>
        <w:ind w:left="0" w:right="60" w:firstLine="50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2、学院将从学历、专业相关性、以及应聘岗位匹配度等方面，对应聘人员的基本条件进行初步审核，审核通过者将推荐至二级学院进入复审及面谈环节。应聘人员须对自己应聘时提供的个人资料及相关材料的真实性、有效性负责，如有弄虚作假一经核实，将按照学校有关规定处理；</w:t>
      </w:r>
    </w:p>
    <w:p>
      <w:pPr>
        <w:wordWrap w:val="0"/>
        <w:spacing w:before="0" w:after="0" w:line="540" w:lineRule="atLeast"/>
        <w:ind w:left="0" w:right="60" w:firstLine="50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3、初试及复试由学院人事处及用人部门组织专业考察(或技能测试) ，根据具体情况形式可为面试、笔试、实际操作、教学试讲、学术报告等；</w:t>
      </w:r>
    </w:p>
    <w:p>
      <w:pPr>
        <w:wordWrap w:val="0"/>
        <w:spacing w:before="0" w:after="0" w:line="540" w:lineRule="atLeast"/>
        <w:ind w:left="0" w:right="0" w:firstLine="50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4、通过初试和复试人员，经学院相关领导审批通过后，由人事处发放录用通知和办理相关手续。</w:t>
      </w:r>
    </w:p>
    <w:p>
      <w:pPr>
        <w:wordWrap w:val="0"/>
        <w:spacing w:before="260" w:after="0" w:line="540" w:lineRule="atLeast"/>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lang w:val="en-US" w:eastAsia="zh-CN"/>
        </w:rPr>
        <w:t>六</w:t>
      </w:r>
      <w:bookmarkStart w:id="0" w:name="_GoBack"/>
      <w:bookmarkEnd w:id="0"/>
      <w:r>
        <w:rPr>
          <w:rFonts w:hint="eastAsia" w:ascii="仿宋_GB2312" w:hAnsi="仿宋_GB2312" w:eastAsia="仿宋_GB2312" w:cs="仿宋_GB2312"/>
          <w:b w:val="0"/>
          <w:i w:val="0"/>
          <w:strike w:val="0"/>
          <w:color w:val="000000"/>
          <w:sz w:val="28"/>
          <w:szCs w:val="28"/>
        </w:rPr>
        <w:t>、联系方式</w:t>
      </w:r>
    </w:p>
    <w:p>
      <w:pPr>
        <w:wordWrap w:val="0"/>
        <w:spacing w:before="240" w:after="0" w:line="540" w:lineRule="atLeast"/>
        <w:ind w:left="500" w:right="0"/>
        <w:jc w:val="both"/>
        <w:textAlignment w:val="baseline"/>
        <w:rPr>
          <w:rFonts w:hint="eastAsia" w:ascii="仿宋_GB2312" w:hAnsi="仿宋_GB2312" w:eastAsia="仿宋_GB2312" w:cs="仿宋_GB2312"/>
          <w:b w:val="0"/>
          <w:i w:val="0"/>
          <w:strike w:val="0"/>
          <w:color w:val="000000"/>
          <w:sz w:val="28"/>
          <w:szCs w:val="28"/>
        </w:rPr>
      </w:pPr>
      <w:r>
        <w:rPr>
          <w:rFonts w:hint="eastAsia" w:ascii="仿宋_GB2312" w:hAnsi="仿宋_GB2312" w:eastAsia="仿宋_GB2312" w:cs="仿宋_GB2312"/>
          <w:b w:val="0"/>
          <w:i w:val="0"/>
          <w:strike w:val="0"/>
          <w:color w:val="000000"/>
          <w:sz w:val="28"/>
          <w:szCs w:val="28"/>
        </w:rPr>
        <w:t>联系电话: 029-61167637</w:t>
      </w:r>
    </w:p>
    <w:p>
      <w:pPr>
        <w:wordWrap w:val="0"/>
        <w:spacing w:before="240" w:after="0" w:line="540" w:lineRule="atLeast"/>
        <w:ind w:left="500" w:right="0"/>
        <w:jc w:val="both"/>
        <w:textAlignment w:val="baseline"/>
        <w:rPr>
          <w:rFonts w:hint="eastAsia" w:ascii="仿宋_GB2312" w:hAnsi="仿宋_GB2312" w:eastAsia="仿宋_GB2312" w:cs="仿宋_GB2312"/>
          <w:b w:val="0"/>
          <w:i w:val="0"/>
          <w:strike w:val="0"/>
          <w:color w:val="000000"/>
          <w:sz w:val="28"/>
          <w:szCs w:val="28"/>
          <w:lang w:val="en-US" w:eastAsia="zh-CN"/>
        </w:rPr>
      </w:pPr>
      <w:r>
        <w:rPr>
          <w:rFonts w:hint="eastAsia" w:ascii="仿宋_GB2312" w:hAnsi="仿宋_GB2312" w:eastAsia="仿宋_GB2312" w:cs="仿宋_GB2312"/>
          <w:b w:val="0"/>
          <w:i w:val="0"/>
          <w:strike w:val="0"/>
          <w:color w:val="000000"/>
          <w:sz w:val="28"/>
          <w:szCs w:val="28"/>
          <w:lang w:val="en-US" w:eastAsia="zh-CN"/>
        </w:rPr>
        <w:t>联系人：李老师</w:t>
      </w:r>
    </w:p>
    <w:p>
      <w:pPr>
        <w:wordWrap w:val="0"/>
        <w:spacing w:before="260" w:after="0" w:line="540" w:lineRule="atLeast"/>
        <w:ind w:left="50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联系邮箱: kdgxrsc2006@163.com</w:t>
      </w:r>
    </w:p>
    <w:p>
      <w:pPr>
        <w:wordWrap w:val="0"/>
        <w:spacing w:before="260" w:after="0" w:line="540" w:lineRule="atLeast"/>
        <w:ind w:left="50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val="0"/>
          <w:i w:val="0"/>
          <w:strike w:val="0"/>
          <w:color w:val="000000"/>
          <w:sz w:val="28"/>
          <w:szCs w:val="28"/>
        </w:rPr>
        <w:t>学校官网: https://www.gaoxinedu.com/</w:t>
      </w:r>
    </w:p>
    <w:sectPr>
      <w:pgSz w:w="11900" w:h="16820"/>
      <w:pgMar w:top="1420" w:right="1780" w:bottom="1420" w:left="17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compat>
    <w:ulTrailSpace/>
    <w:useFELayout/>
    <w:compatSetting w:name="compatibilityMode" w:uri="http://schemas.microsoft.com/office/word" w:val="15"/>
  </w:compat>
  <w:docVars>
    <w:docVar w:name="commondata" w:val="eyJoZGlkIjoiOGY4NmE5MDRjZmFkZWVkMTMyYzRmZjkxMmI2MGU1OWEifQ=="/>
  </w:docVars>
  <w:rsids>
    <w:rsidRoot w:val="00000000"/>
    <w:rsid w:val="1E331173"/>
    <w:rsid w:val="40045002"/>
    <w:rsid w:val="73745CDD"/>
    <w:rsid w:val="769B38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21</TotalTime>
  <ScaleCrop>false</ScaleCrop>
  <LinksUpToDate>false</LinksUpToDate>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2024-03-22T02:23:00Z</dcterms:created>
  <dc:creator>Apache POI</dc:creator>
  <cp:lastModifiedBy>每天都有人觊觎我小仙女的地位</cp:lastModifiedBy>
  <dcterms:modified xsi:type="dcterms:W3CDTF">2024-03-22T03:43:39Z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1B8299C9F0B644CC9B8F5ED626802C6D_12</vt:lpwstr>
  </property>
</Properties>
</file>